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856F" w14:textId="38FDF168" w:rsidR="0078646B" w:rsidRDefault="0078646B" w:rsidP="004346F9">
      <w:pPr>
        <w:pStyle w:val="Title"/>
        <w:rPr>
          <w:sz w:val="40"/>
          <w:szCs w:val="40"/>
        </w:rPr>
      </w:pPr>
      <w:r w:rsidRPr="00534A04">
        <w:rPr>
          <w:sz w:val="40"/>
          <w:szCs w:val="40"/>
        </w:rPr>
        <w:t>Information Sheet for Action Research Project 25/26</w:t>
      </w:r>
    </w:p>
    <w:p w14:paraId="37AC6124" w14:textId="6208DA7F" w:rsidR="00534A04" w:rsidRPr="00534A04" w:rsidRDefault="00534A04" w:rsidP="00534A04">
      <w:r>
        <w:t>by Carlotta Ghigi</w:t>
      </w:r>
    </w:p>
    <w:p w14:paraId="6DC70A0B" w14:textId="77777777" w:rsidR="004346F9" w:rsidRDefault="004346F9"/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7588"/>
        <w:gridCol w:w="36"/>
      </w:tblGrid>
      <w:tr w:rsidR="00946771" w:rsidRPr="003B5488" w14:paraId="50E72702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949F8A" w14:textId="77777777" w:rsidR="003B5488" w:rsidRPr="003B5488" w:rsidRDefault="003B5488" w:rsidP="003B5488">
            <w:r w:rsidRPr="003B5488">
              <w:rPr>
                <w:b/>
                <w:bCs/>
              </w:rPr>
              <w:t>Project Title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B936AB" w14:textId="5D78A868" w:rsidR="003B5488" w:rsidRPr="003B5488" w:rsidRDefault="003B5488" w:rsidP="003B5488">
            <w:r>
              <w:t xml:space="preserve">How can Neurodivergent students in Fashion Contour </w:t>
            </w:r>
            <w:r w:rsidR="00437600">
              <w:t>see their condition as empowering</w:t>
            </w:r>
            <w:r>
              <w:t>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73072D" w14:textId="77777777" w:rsidR="003B5488" w:rsidRPr="003B5488" w:rsidRDefault="003B5488" w:rsidP="003B5488"/>
        </w:tc>
      </w:tr>
      <w:tr w:rsidR="00946771" w:rsidRPr="003B5488" w14:paraId="7C3B40B3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D05383" w14:textId="77777777" w:rsidR="003B5488" w:rsidRPr="003B5488" w:rsidRDefault="003B5488" w:rsidP="003B5488">
            <w:r w:rsidRPr="003B5488">
              <w:rPr>
                <w:b/>
                <w:bCs/>
              </w:rPr>
              <w:t>Invitation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B2E82B" w14:textId="5CF16D29" w:rsidR="003B5488" w:rsidRDefault="003B5488" w:rsidP="003B5488">
            <w:r>
              <w:t xml:space="preserve">As a neurodivergent Fashion Contour </w:t>
            </w:r>
            <w:r w:rsidR="006073A8">
              <w:t>student,</w:t>
            </w:r>
            <w:r>
              <w:t xml:space="preserve"> you are invited to share your experience with Carlotta and other students like yourself, </w:t>
            </w:r>
            <w:proofErr w:type="gramStart"/>
            <w:r w:rsidR="00946771">
              <w:t>in order to</w:t>
            </w:r>
            <w:proofErr w:type="gramEnd"/>
            <w:r w:rsidR="00946771">
              <w:t xml:space="preserve"> find empowering catalysts to share and </w:t>
            </w:r>
            <w:r w:rsidR="009E78DC">
              <w:t>promote</w:t>
            </w:r>
            <w:r w:rsidR="00946771">
              <w:t xml:space="preserve">, and pitfalls to avoid. This research is focused on the student’s </w:t>
            </w:r>
            <w:r w:rsidR="009E78DC">
              <w:t>experience but</w:t>
            </w:r>
            <w:r w:rsidR="00946771">
              <w:t xml:space="preserve"> may also include the university actions that support it.</w:t>
            </w:r>
          </w:p>
          <w:p w14:paraId="00A0E209" w14:textId="77777777" w:rsidR="009E78DC" w:rsidRDefault="009E78DC" w:rsidP="003B5488">
            <w:r>
              <w:t>The sharing will take place in the form of a questionnaire, one-to-one interviews and a workshop with the other participants. You can take part in all or some of the activities and you can control how much of your contribution is shared.</w:t>
            </w:r>
          </w:p>
          <w:p w14:paraId="2920B5FD" w14:textId="68D4F528" w:rsidR="009E78DC" w:rsidRPr="003B5488" w:rsidRDefault="009E78DC" w:rsidP="003B5488">
            <w:r>
              <w:t>Consent for parts, or all</w:t>
            </w:r>
            <w:r w:rsidR="003062D6">
              <w:t>,</w:t>
            </w:r>
            <w:r>
              <w:t xml:space="preserve"> of the project can be withdrawn at any time.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F265E0" w14:textId="77777777" w:rsidR="003B5488" w:rsidRPr="003B5488" w:rsidRDefault="003B5488" w:rsidP="003B5488"/>
        </w:tc>
      </w:tr>
      <w:tr w:rsidR="00946771" w:rsidRPr="003B5488" w14:paraId="29909732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2E1CAD" w14:textId="77777777" w:rsidR="003B5488" w:rsidRPr="003B5488" w:rsidRDefault="003B5488" w:rsidP="003B5488">
            <w:r w:rsidRPr="003B5488">
              <w:rPr>
                <w:b/>
                <w:bCs/>
              </w:rPr>
              <w:t>Researcher Details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96B72CD" w14:textId="739626D6" w:rsidR="009E78DC" w:rsidRDefault="00946771" w:rsidP="003B5488">
            <w:r>
              <w:t>Carlotta</w:t>
            </w:r>
            <w:r w:rsidR="009E78DC">
              <w:t xml:space="preserve"> Ghigi is a lecturer on the Fashion Contour BA course at LCF. She can be reached at </w:t>
            </w:r>
            <w:hyperlink r:id="rId5" w:history="1">
              <w:r w:rsidR="009E78DC" w:rsidRPr="0064064E">
                <w:rPr>
                  <w:rStyle w:val="Hyperlink"/>
                </w:rPr>
                <w:t>c.ghigi@fashion.arts.ac.uk</w:t>
              </w:r>
            </w:hyperlink>
          </w:p>
          <w:p w14:paraId="2BF68FD5" w14:textId="3AC3E8FC" w:rsidR="007F6425" w:rsidRPr="003B5488" w:rsidRDefault="009E78DC" w:rsidP="007F6425">
            <w:r>
              <w:t xml:space="preserve">The supervisor for this action research project is Kwame Baah </w:t>
            </w:r>
            <w:hyperlink r:id="rId6" w:history="1">
              <w:r w:rsidRPr="0064064E">
                <w:rPr>
                  <w:rStyle w:val="Hyperlink"/>
                </w:rPr>
                <w:t>k.f.baah@arts.ac.uk</w:t>
              </w:r>
            </w:hyperlink>
            <w:r>
              <w:t xml:space="preserve"> </w:t>
            </w:r>
          </w:p>
          <w:p w14:paraId="6C0EBFE2" w14:textId="6351E191" w:rsidR="003B5488" w:rsidRPr="003B5488" w:rsidRDefault="003B5488" w:rsidP="003B5488"/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E4334C" w14:textId="77777777" w:rsidR="003B5488" w:rsidRPr="003B5488" w:rsidRDefault="003B5488" w:rsidP="003B5488"/>
        </w:tc>
      </w:tr>
      <w:tr w:rsidR="00946771" w:rsidRPr="003B5488" w14:paraId="3AF2D2B6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050F90" w14:textId="77777777" w:rsidR="003B5488" w:rsidRPr="003B5488" w:rsidRDefault="003B5488" w:rsidP="003B5488">
            <w:r w:rsidRPr="003B5488">
              <w:rPr>
                <w:b/>
                <w:bCs/>
              </w:rPr>
              <w:t>General Purpose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1F521E" w14:textId="787D0E96" w:rsidR="009E78DC" w:rsidRDefault="009E78DC" w:rsidP="003B5488">
            <w:r>
              <w:t xml:space="preserve">The purpose for the project is the completion of the </w:t>
            </w:r>
            <w:r w:rsidRPr="009249A5">
              <w:rPr>
                <w:i/>
                <w:iCs/>
              </w:rPr>
              <w:t>Action Research Project</w:t>
            </w:r>
            <w:r>
              <w:t xml:space="preserve"> unit, part of the </w:t>
            </w:r>
            <w:r w:rsidRPr="009249A5">
              <w:rPr>
                <w:i/>
                <w:iCs/>
              </w:rPr>
              <w:t>PgCert Academic Practice in Art, Design and Communicatio</w:t>
            </w:r>
            <w:r w:rsidR="009249A5" w:rsidRPr="009249A5">
              <w:rPr>
                <w:i/>
                <w:iCs/>
              </w:rPr>
              <w:t>n</w:t>
            </w:r>
            <w:r w:rsidR="009249A5">
              <w:t xml:space="preserve"> course that Carlotta is currently undertaking.</w:t>
            </w:r>
          </w:p>
          <w:p w14:paraId="2AC85FE6" w14:textId="6E6717BF" w:rsidR="002D6E85" w:rsidRDefault="009249A5" w:rsidP="002D6E85">
            <w:r>
              <w:t xml:space="preserve">Action research expects collaboration towards a common goal of improvement, through a cyclical process of observation, reflection and action. </w:t>
            </w:r>
            <w:r w:rsidR="00290DB7">
              <w:t>Thus,</w:t>
            </w:r>
            <w:r>
              <w:t xml:space="preserve"> the project is focused on the students sharing </w:t>
            </w:r>
            <w:r w:rsidR="00FC0261">
              <w:t xml:space="preserve">and discussing </w:t>
            </w:r>
            <w:r>
              <w:t xml:space="preserve">their experiences and can result into </w:t>
            </w:r>
            <w:r w:rsidR="005A4540">
              <w:t xml:space="preserve">plans for </w:t>
            </w:r>
            <w:r>
              <w:t>students’ actions, faculty actions, or both.</w:t>
            </w:r>
            <w:r w:rsidR="002D6E85">
              <w:t xml:space="preserve"> </w:t>
            </w:r>
          </w:p>
          <w:p w14:paraId="2F036460" w14:textId="78CB4FFC" w:rsidR="002D6E85" w:rsidRDefault="002D6E85" w:rsidP="002D6E85">
            <w:r>
              <w:t>The overall purpose is to improve neurodivergent students’ experiences and outcomes in a discipline that has a high occurrence of neurodiversity.</w:t>
            </w:r>
          </w:p>
          <w:p w14:paraId="7C32DC34" w14:textId="302E707F" w:rsidR="003B5488" w:rsidRPr="003B5488" w:rsidRDefault="003B5488" w:rsidP="003B5488"/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636AF60" w14:textId="77777777" w:rsidR="003B5488" w:rsidRPr="003B5488" w:rsidRDefault="003B5488" w:rsidP="003B5488"/>
        </w:tc>
      </w:tr>
      <w:tr w:rsidR="00946771" w:rsidRPr="003B5488" w14:paraId="75A42ADB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8A6BFC" w14:textId="77777777" w:rsidR="003B5488" w:rsidRPr="003B5488" w:rsidRDefault="003B5488" w:rsidP="003B5488">
            <w:r w:rsidRPr="003B5488">
              <w:rPr>
                <w:b/>
                <w:bCs/>
              </w:rPr>
              <w:t>Study Aims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60CA03" w14:textId="77777777" w:rsidR="0095416E" w:rsidRDefault="0095416E" w:rsidP="003B5488">
            <w:r>
              <w:t xml:space="preserve">The research and its outcome will be shared with the PgCert teaching team and course peers in a presentation. It may also be included in further submissions or publications, with the consent of students </w:t>
            </w:r>
            <w:r w:rsidR="005F0659">
              <w:t>involved</w:t>
            </w:r>
            <w:r>
              <w:t>.</w:t>
            </w:r>
          </w:p>
          <w:p w14:paraId="295D4A30" w14:textId="56065DB2" w:rsidR="005F0659" w:rsidRPr="003B5488" w:rsidRDefault="005F0659" w:rsidP="003B5488"/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AF3CA48" w14:textId="77777777" w:rsidR="003B5488" w:rsidRPr="003B5488" w:rsidRDefault="003B5488" w:rsidP="003B5488"/>
        </w:tc>
      </w:tr>
      <w:tr w:rsidR="00946771" w:rsidRPr="003B5488" w14:paraId="7FB77084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0D19C2" w14:textId="77777777" w:rsidR="003B5488" w:rsidRPr="003B5488" w:rsidRDefault="003B5488" w:rsidP="003B5488">
            <w:r w:rsidRPr="003B5488">
              <w:rPr>
                <w:b/>
                <w:bCs/>
              </w:rPr>
              <w:t>Participant Activities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343941" w14:textId="77777777" w:rsidR="0095416E" w:rsidRDefault="0095416E" w:rsidP="0095416E">
            <w:pPr>
              <w:pStyle w:val="ListParagraph"/>
              <w:numPr>
                <w:ilvl w:val="0"/>
                <w:numId w:val="1"/>
              </w:numPr>
            </w:pPr>
            <w:r>
              <w:t xml:space="preserve">Questionnaire. This is anonymous and linked to an avatar name. The student has the option of disclosing their identity to Carlotta, </w:t>
            </w:r>
            <w:proofErr w:type="gramStart"/>
            <w:r>
              <w:t>in order to</w:t>
            </w:r>
            <w:proofErr w:type="gramEnd"/>
            <w:r>
              <w:t xml:space="preserve"> facilitate the one-to-one interview activity</w:t>
            </w:r>
          </w:p>
          <w:p w14:paraId="3567C6B5" w14:textId="214C4A62" w:rsidR="0095416E" w:rsidRDefault="0095416E" w:rsidP="0095416E">
            <w:pPr>
              <w:pStyle w:val="ListParagraph"/>
              <w:numPr>
                <w:ilvl w:val="0"/>
                <w:numId w:val="1"/>
              </w:numPr>
            </w:pPr>
            <w:r>
              <w:t>One-to-one interviews to take place following the questionnaire, during the winter break, depending on students’ availability.</w:t>
            </w:r>
          </w:p>
          <w:p w14:paraId="2DC31E55" w14:textId="346DF151" w:rsidR="0095416E" w:rsidRDefault="0095416E" w:rsidP="0095416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A workshop to discuss together shared experiences and </w:t>
            </w:r>
            <w:proofErr w:type="gramStart"/>
            <w:r>
              <w:t>triggers, and</w:t>
            </w:r>
            <w:proofErr w:type="gramEnd"/>
            <w:r>
              <w:t xml:space="preserve"> formulate a plan of action.</w:t>
            </w:r>
          </w:p>
          <w:p w14:paraId="4DD29A8C" w14:textId="77777777" w:rsidR="0095416E" w:rsidRDefault="0095416E" w:rsidP="0095416E">
            <w:pPr>
              <w:ind w:left="360"/>
            </w:pPr>
          </w:p>
          <w:p w14:paraId="2FA1E73E" w14:textId="38C0D68C" w:rsidR="003B5488" w:rsidRPr="003B5488" w:rsidRDefault="003B5488" w:rsidP="0095416E">
            <w:pPr>
              <w:ind w:left="360"/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130FF1A" w14:textId="77777777" w:rsidR="003B5488" w:rsidRPr="003B5488" w:rsidRDefault="003B5488" w:rsidP="003B5488"/>
        </w:tc>
      </w:tr>
      <w:tr w:rsidR="00946771" w:rsidRPr="003B5488" w14:paraId="50297D7F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6483B2" w14:textId="77777777" w:rsidR="003B5488" w:rsidRPr="003B5488" w:rsidRDefault="003B5488" w:rsidP="003B5488">
            <w:r w:rsidRPr="003B5488">
              <w:rPr>
                <w:b/>
                <w:bCs/>
              </w:rPr>
              <w:t>Voluntary Participation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DE9A52" w14:textId="495410A6" w:rsidR="005F0659" w:rsidRDefault="005F0659" w:rsidP="003B5488">
            <w:r>
              <w:t>All activit</w:t>
            </w:r>
            <w:r w:rsidR="00C47302">
              <w:t>ies</w:t>
            </w:r>
            <w:r>
              <w:t xml:space="preserve"> are optional and consent for one or all can be withdrawn at any time</w:t>
            </w:r>
            <w:r w:rsidR="00105E37" w:rsidRPr="003B5488">
              <w:t>, for any reason, without prejudice or negative impact on their relationship with the institution</w:t>
            </w:r>
            <w:r w:rsidR="00105E37">
              <w:t>.</w:t>
            </w:r>
            <w:r>
              <w:t xml:space="preserve"> Furthermore, the inclusion of </w:t>
            </w:r>
            <w:r w:rsidR="00C47302">
              <w:t>students’ input into the presentation</w:t>
            </w:r>
            <w:r w:rsidR="003D000B">
              <w:t xml:space="preserve"> </w:t>
            </w:r>
            <w:r w:rsidR="00DB7B45">
              <w:t>and pu</w:t>
            </w:r>
            <w:r w:rsidR="003D000B">
              <w:t>blications</w:t>
            </w:r>
            <w:r w:rsidR="00DB7B45">
              <w:t xml:space="preserve"> will be anonymous and </w:t>
            </w:r>
            <w:r w:rsidR="00105E37">
              <w:t>consent can be withdrawn at any time before publication/presentation.</w:t>
            </w:r>
          </w:p>
          <w:p w14:paraId="1A1D145D" w14:textId="5684E3B2" w:rsidR="003B5488" w:rsidRPr="003B5488" w:rsidRDefault="00105E37" w:rsidP="003B5488">
            <w:r>
              <w:t xml:space="preserve">Any changes </w:t>
            </w:r>
            <w:r w:rsidR="0025654E">
              <w:t>in</w:t>
            </w:r>
            <w:r>
              <w:t xml:space="preserve"> consent need to be communicated to Carlotta</w:t>
            </w:r>
            <w:r w:rsidR="0025654E">
              <w:t xml:space="preserve"> </w:t>
            </w:r>
            <w:hyperlink r:id="rId7" w:history="1">
              <w:r w:rsidR="0025654E" w:rsidRPr="0064064E">
                <w:rPr>
                  <w:rStyle w:val="Hyperlink"/>
                </w:rPr>
                <w:t>c.ghigi@fashion.arts.ac.uk</w:t>
              </w:r>
            </w:hyperlink>
            <w:r w:rsidR="0025654E">
              <w:t xml:space="preserve"> </w:t>
            </w:r>
            <w:r w:rsidR="00515107">
              <w:t xml:space="preserve"> In the case of the questionnaire, the Avatar name needs to be</w:t>
            </w:r>
            <w:r w:rsidR="00FC1317">
              <w:t xml:space="preserve"> disclosed in order to identify the </w:t>
            </w:r>
            <w:r w:rsidR="008F764F">
              <w:t>content to be amended/deleted.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8A2FF50" w14:textId="77777777" w:rsidR="003B5488" w:rsidRPr="003B5488" w:rsidRDefault="003B5488" w:rsidP="003B5488"/>
        </w:tc>
      </w:tr>
      <w:tr w:rsidR="00946771" w:rsidRPr="003B5488" w14:paraId="58C52700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C05E61" w14:textId="77777777" w:rsidR="003B5488" w:rsidRPr="003B5488" w:rsidRDefault="003B5488" w:rsidP="003B5488">
            <w:r w:rsidRPr="003B5488">
              <w:rPr>
                <w:b/>
                <w:bCs/>
              </w:rPr>
              <w:t>Confidentiality &amp; Data Handling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206380" w14:textId="0AFDD087" w:rsidR="003B54DE" w:rsidRDefault="003B54DE" w:rsidP="003B5488">
            <w:r>
              <w:t>All data collected during the project will be password protected</w:t>
            </w:r>
            <w:r w:rsidR="0073064E">
              <w:t xml:space="preserve">, and accessible only to Carlotta and the </w:t>
            </w:r>
            <w:r w:rsidR="009578B0">
              <w:t>Action Research Project unit teaching team.</w:t>
            </w:r>
          </w:p>
          <w:p w14:paraId="0A29098B" w14:textId="3702626A" w:rsidR="00B45D73" w:rsidRDefault="000519F4" w:rsidP="003B5488">
            <w:r>
              <w:t xml:space="preserve">Answers to the questionnaire will be </w:t>
            </w:r>
            <w:r w:rsidR="00C61664">
              <w:t>anonymous and recorded against an Alias</w:t>
            </w:r>
            <w:r w:rsidR="00121325">
              <w:t>/Avatar</w:t>
            </w:r>
            <w:r w:rsidR="00C61664">
              <w:t xml:space="preserve"> name. </w:t>
            </w:r>
            <w:r w:rsidR="00690E30">
              <w:t>When the real identity behind the Alias is disclosed, this will be recorded separately and password protected.</w:t>
            </w:r>
          </w:p>
          <w:p w14:paraId="75E85438" w14:textId="0DED5A11" w:rsidR="00690E30" w:rsidRDefault="003B54DE" w:rsidP="003B5488">
            <w:r>
              <w:t xml:space="preserve">Interview recording will be </w:t>
            </w:r>
            <w:r w:rsidR="00D74308">
              <w:t xml:space="preserve">authorised at the beginning of every session and only used for note taking </w:t>
            </w:r>
            <w:r w:rsidR="00E802DD">
              <w:t>purposes.</w:t>
            </w:r>
          </w:p>
          <w:p w14:paraId="2358557C" w14:textId="5B0FF96E" w:rsidR="00C95566" w:rsidRDefault="00393BEC" w:rsidP="003B5488">
            <w:r>
              <w:t>An</w:t>
            </w:r>
            <w:r w:rsidR="00147008">
              <w:t xml:space="preserve"> eventual</w:t>
            </w:r>
            <w:r>
              <w:t xml:space="preserve"> recording of the workshop will be authorised </w:t>
            </w:r>
            <w:r w:rsidR="00147008">
              <w:t xml:space="preserve">on the day and only used for note taking </w:t>
            </w:r>
            <w:r w:rsidR="007603CC">
              <w:t>purposes</w:t>
            </w:r>
            <w:r w:rsidR="00147008">
              <w:t>.</w:t>
            </w:r>
          </w:p>
          <w:p w14:paraId="08F1A900" w14:textId="0D11ABF6" w:rsidR="003B5488" w:rsidRPr="003B5488" w:rsidRDefault="004729CA" w:rsidP="003B5488">
            <w:r>
              <w:t>The data collected will be used to support</w:t>
            </w:r>
            <w:r w:rsidR="009F7601">
              <w:t xml:space="preserve"> the</w:t>
            </w:r>
            <w:r>
              <w:t xml:space="preserve"> Action Research </w:t>
            </w:r>
            <w:r w:rsidR="007603CC">
              <w:t>P</w:t>
            </w:r>
            <w:r>
              <w:t xml:space="preserve">roject </w:t>
            </w:r>
            <w:r w:rsidR="007603CC">
              <w:t xml:space="preserve">presentation and any </w:t>
            </w:r>
            <w:r w:rsidR="001E2765">
              <w:t>eventual publication of the results.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ED1ED8" w14:textId="77777777" w:rsidR="003B5488" w:rsidRPr="003B5488" w:rsidRDefault="003B5488" w:rsidP="003B5488"/>
        </w:tc>
      </w:tr>
      <w:tr w:rsidR="00946771" w:rsidRPr="003B5488" w14:paraId="42B56CFF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75FF5F" w14:textId="77777777" w:rsidR="003B5488" w:rsidRPr="003B5488" w:rsidRDefault="003B5488" w:rsidP="003B5488">
            <w:r w:rsidRPr="003B5488">
              <w:rPr>
                <w:b/>
                <w:bCs/>
              </w:rPr>
              <w:t>Risks and Benefits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8D8507" w14:textId="686B9CBA" w:rsidR="000F0EFC" w:rsidRDefault="00782943" w:rsidP="003B5488">
            <w:r>
              <w:t xml:space="preserve">Benefits from participating to the project can vary from </w:t>
            </w:r>
            <w:r w:rsidR="001B7E6C">
              <w:t xml:space="preserve">fostering a </w:t>
            </w:r>
            <w:r w:rsidR="009D7A91">
              <w:t xml:space="preserve">tighter sense of community with other neurodivergent students on the course, to </w:t>
            </w:r>
            <w:r w:rsidR="00321297">
              <w:t>receiving</w:t>
            </w:r>
            <w:r w:rsidR="000E0053">
              <w:t xml:space="preserve"> positive reinforcement</w:t>
            </w:r>
            <w:r w:rsidR="006F7EFB">
              <w:t xml:space="preserve"> and actively contributing to </w:t>
            </w:r>
            <w:r w:rsidR="002B1D6A">
              <w:t>empowering experience</w:t>
            </w:r>
            <w:r w:rsidR="00B41079">
              <w:t>s</w:t>
            </w:r>
            <w:r w:rsidR="002B1D6A">
              <w:t xml:space="preserve"> for all students.</w:t>
            </w:r>
          </w:p>
          <w:p w14:paraId="7013A699" w14:textId="67CA4E5F" w:rsidR="00466643" w:rsidRDefault="00E030A2" w:rsidP="003B5488">
            <w:r>
              <w:t xml:space="preserve">Risks may include an overwhelming feeling caused by discussing personal matters. It is recommended that students </w:t>
            </w:r>
            <w:r w:rsidR="00A25255">
              <w:t xml:space="preserve">make a </w:t>
            </w:r>
            <w:r w:rsidR="00864759">
              <w:t>judgment</w:t>
            </w:r>
            <w:r w:rsidR="00A25255">
              <w:t xml:space="preserve"> call </w:t>
            </w:r>
            <w:r w:rsidR="00694C14">
              <w:t xml:space="preserve">on whether participating is healthy </w:t>
            </w:r>
            <w:r w:rsidR="00466643">
              <w:t xml:space="preserve">for </w:t>
            </w:r>
            <w:proofErr w:type="gramStart"/>
            <w:r w:rsidR="00466643">
              <w:t>them, and</w:t>
            </w:r>
            <w:proofErr w:type="gramEnd"/>
            <w:r w:rsidR="00466643">
              <w:t xml:space="preserve"> seek support if they are negatively affected.</w:t>
            </w:r>
          </w:p>
          <w:p w14:paraId="0790C89E" w14:textId="3403A63A" w:rsidR="00466643" w:rsidRDefault="00466643" w:rsidP="003B5488">
            <w:r>
              <w:t xml:space="preserve">Risks do not include adverse effects on the relationship with the </w:t>
            </w:r>
            <w:r w:rsidR="00AA4C94">
              <w:t>tutor(s) and the University.</w:t>
            </w:r>
          </w:p>
          <w:p w14:paraId="2FD2A738" w14:textId="47C4429F" w:rsidR="003B5488" w:rsidRPr="003B5488" w:rsidRDefault="00A513AC" w:rsidP="003B5488">
            <w:r>
              <w:t xml:space="preserve">Participants will dedicate </w:t>
            </w:r>
            <w:r w:rsidR="00B15BE0">
              <w:t>a predicted total of 4 hours between responding to the questionnaire, participating to interviews and workshop</w:t>
            </w:r>
            <w:r w:rsidR="002607B7">
              <w:t>, depending on how many activities they participate to.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65E2AA" w14:textId="77777777" w:rsidR="003B5488" w:rsidRPr="003B5488" w:rsidRDefault="003B5488" w:rsidP="003B5488"/>
        </w:tc>
      </w:tr>
      <w:tr w:rsidR="00946771" w:rsidRPr="003B5488" w14:paraId="38249CA8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23594A" w14:textId="77777777" w:rsidR="003B5488" w:rsidRPr="003B5488" w:rsidRDefault="003B5488" w:rsidP="003B5488">
            <w:r w:rsidRPr="003B5488">
              <w:rPr>
                <w:b/>
                <w:bCs/>
              </w:rPr>
              <w:t>Outcome Dissemination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287C01" w14:textId="15A42580" w:rsidR="00116192" w:rsidRDefault="00116192" w:rsidP="003B5488">
            <w:r>
              <w:t xml:space="preserve">The end of the ARP unit is planned for </w:t>
            </w:r>
            <w:proofErr w:type="gramStart"/>
            <w:r>
              <w:t>January,</w:t>
            </w:r>
            <w:proofErr w:type="gramEnd"/>
            <w:r>
              <w:t xml:space="preserve"> however it is possible for the </w:t>
            </w:r>
            <w:r w:rsidR="000F4A6D">
              <w:t>project to continue past this date to enact any planned action, or in case of referral.</w:t>
            </w:r>
          </w:p>
          <w:p w14:paraId="78253FE0" w14:textId="0290BED9" w:rsidR="003B5488" w:rsidRPr="003B5488" w:rsidRDefault="000F4A6D" w:rsidP="003B5488">
            <w:r>
              <w:lastRenderedPageBreak/>
              <w:t xml:space="preserve">On request, participants can review </w:t>
            </w:r>
            <w:r w:rsidR="00325999">
              <w:t>t</w:t>
            </w:r>
            <w:r>
              <w:t>he resulting presentation after completion of the unit.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81065F7" w14:textId="77777777" w:rsidR="003B5488" w:rsidRPr="003B5488" w:rsidRDefault="003B5488" w:rsidP="003B5488"/>
        </w:tc>
      </w:tr>
      <w:tr w:rsidR="00946771" w:rsidRPr="003B5488" w14:paraId="54EA7B22" w14:textId="77777777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9AB065" w14:textId="77777777" w:rsidR="003B5488" w:rsidRPr="003B5488" w:rsidRDefault="003B5488" w:rsidP="003B5488">
            <w:r w:rsidRPr="003B5488">
              <w:rPr>
                <w:b/>
                <w:bCs/>
              </w:rPr>
              <w:t>Further Information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6E0AF4" w14:textId="1CAF2C13" w:rsidR="003B5488" w:rsidRPr="003B5488" w:rsidRDefault="00FF2F5D" w:rsidP="00A83863">
            <w:r>
              <w:t xml:space="preserve">Please contact Carlotta </w:t>
            </w:r>
            <w:hyperlink r:id="rId8" w:history="1">
              <w:r w:rsidRPr="0064064E">
                <w:rPr>
                  <w:rStyle w:val="Hyperlink"/>
                </w:rPr>
                <w:t>c.ghigi@fashion.arts.ac.uk</w:t>
              </w:r>
            </w:hyperlink>
            <w:r>
              <w:t xml:space="preserve"> </w:t>
            </w:r>
            <w:r w:rsidR="00A83863">
              <w:t>with</w:t>
            </w:r>
            <w:r>
              <w:t xml:space="preserve"> further </w:t>
            </w:r>
            <w:r w:rsidR="00A83863">
              <w:t>questions or concerns.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4A6FAA6" w14:textId="77777777" w:rsidR="003B5488" w:rsidRPr="003B5488" w:rsidRDefault="003B5488" w:rsidP="003B5488"/>
        </w:tc>
      </w:tr>
      <w:tr w:rsidR="00946771" w:rsidRPr="003B5488" w14:paraId="00B4A326" w14:textId="7777777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82B678" w14:textId="77777777" w:rsidR="003B5488" w:rsidRPr="003B5488" w:rsidRDefault="003B5488" w:rsidP="003B5488">
            <w:r w:rsidRPr="003B5488">
              <w:rPr>
                <w:b/>
                <w:bCs/>
              </w:rPr>
              <w:t>Consent Form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3A32CD" w14:textId="77777777" w:rsidR="003B5488" w:rsidRDefault="00A83863" w:rsidP="003B5488">
            <w:r>
              <w:t xml:space="preserve">Consent forms will </w:t>
            </w:r>
            <w:r w:rsidR="003F29D7">
              <w:t>require signing at the time of each activity.</w:t>
            </w:r>
          </w:p>
          <w:p w14:paraId="2B9F01BF" w14:textId="29C7BBEF" w:rsidR="003F29D7" w:rsidRPr="003B5488" w:rsidRDefault="003F29D7" w:rsidP="003B5488">
            <w:r>
              <w:t xml:space="preserve">For the questionnaire, the consent </w:t>
            </w:r>
            <w:r w:rsidR="00295C60">
              <w:t>questions are</w:t>
            </w:r>
            <w:r>
              <w:t xml:space="preserve"> included </w:t>
            </w:r>
            <w:r w:rsidR="00295C60">
              <w:t xml:space="preserve">in the form. For other activities, forms will be emailed to the participant </w:t>
            </w:r>
            <w:r w:rsidR="007F6425">
              <w:t>in advance of the event and collected on the day.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2C24C" w14:textId="77777777" w:rsidR="003B5488" w:rsidRPr="003B5488" w:rsidRDefault="003B5488" w:rsidP="003B5488"/>
        </w:tc>
      </w:tr>
    </w:tbl>
    <w:p w14:paraId="3694EBEF" w14:textId="77777777" w:rsidR="00540668" w:rsidRDefault="00540668"/>
    <w:sectPr w:rsidR="00540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DD4"/>
    <w:multiLevelType w:val="hybridMultilevel"/>
    <w:tmpl w:val="F1B0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88"/>
    <w:rsid w:val="000519F4"/>
    <w:rsid w:val="000D43AA"/>
    <w:rsid w:val="000E0053"/>
    <w:rsid w:val="000F0EFC"/>
    <w:rsid w:val="000F4A6D"/>
    <w:rsid w:val="00105E37"/>
    <w:rsid w:val="00116192"/>
    <w:rsid w:val="00121325"/>
    <w:rsid w:val="00147008"/>
    <w:rsid w:val="001B7E6C"/>
    <w:rsid w:val="001E2765"/>
    <w:rsid w:val="0025654E"/>
    <w:rsid w:val="002607B7"/>
    <w:rsid w:val="00290DB7"/>
    <w:rsid w:val="00295C60"/>
    <w:rsid w:val="002B1D6A"/>
    <w:rsid w:val="002D6E85"/>
    <w:rsid w:val="003062D6"/>
    <w:rsid w:val="00321297"/>
    <w:rsid w:val="00325999"/>
    <w:rsid w:val="00393BEC"/>
    <w:rsid w:val="003B5488"/>
    <w:rsid w:val="003B54DE"/>
    <w:rsid w:val="003D000B"/>
    <w:rsid w:val="003F29D7"/>
    <w:rsid w:val="004346F9"/>
    <w:rsid w:val="00437600"/>
    <w:rsid w:val="00466643"/>
    <w:rsid w:val="004729CA"/>
    <w:rsid w:val="00515107"/>
    <w:rsid w:val="0053046D"/>
    <w:rsid w:val="00534A04"/>
    <w:rsid w:val="00540668"/>
    <w:rsid w:val="005A4540"/>
    <w:rsid w:val="005F0659"/>
    <w:rsid w:val="005F3594"/>
    <w:rsid w:val="006073A8"/>
    <w:rsid w:val="00651C6F"/>
    <w:rsid w:val="00690E30"/>
    <w:rsid w:val="00694C14"/>
    <w:rsid w:val="006F7EFB"/>
    <w:rsid w:val="0073064E"/>
    <w:rsid w:val="007603CC"/>
    <w:rsid w:val="00782943"/>
    <w:rsid w:val="0078646B"/>
    <w:rsid w:val="007F6425"/>
    <w:rsid w:val="00864759"/>
    <w:rsid w:val="008916E0"/>
    <w:rsid w:val="008D0F00"/>
    <w:rsid w:val="008F764F"/>
    <w:rsid w:val="009249A5"/>
    <w:rsid w:val="00946771"/>
    <w:rsid w:val="0095416E"/>
    <w:rsid w:val="009578B0"/>
    <w:rsid w:val="009D7A91"/>
    <w:rsid w:val="009E78DC"/>
    <w:rsid w:val="009F7601"/>
    <w:rsid w:val="00A25255"/>
    <w:rsid w:val="00A513AC"/>
    <w:rsid w:val="00A83863"/>
    <w:rsid w:val="00AA4C94"/>
    <w:rsid w:val="00AC2983"/>
    <w:rsid w:val="00B15BE0"/>
    <w:rsid w:val="00B34F23"/>
    <w:rsid w:val="00B41079"/>
    <w:rsid w:val="00B45D73"/>
    <w:rsid w:val="00C47302"/>
    <w:rsid w:val="00C61664"/>
    <w:rsid w:val="00C95566"/>
    <w:rsid w:val="00D74308"/>
    <w:rsid w:val="00DB7B45"/>
    <w:rsid w:val="00DF7FB3"/>
    <w:rsid w:val="00E030A2"/>
    <w:rsid w:val="00E34553"/>
    <w:rsid w:val="00E802DD"/>
    <w:rsid w:val="00F03F98"/>
    <w:rsid w:val="00FC0261"/>
    <w:rsid w:val="00FC1317"/>
    <w:rsid w:val="00FC6734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19E5"/>
  <w15:chartTrackingRefBased/>
  <w15:docId w15:val="{BB3D1BA8-5A9E-4B27-B98E-D7A3C1C9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3AA"/>
  </w:style>
  <w:style w:type="paragraph" w:styleId="Heading1">
    <w:name w:val="heading 1"/>
    <w:basedOn w:val="Normal"/>
    <w:next w:val="Normal"/>
    <w:link w:val="Heading1Char"/>
    <w:uiPriority w:val="9"/>
    <w:qFormat/>
    <w:rsid w:val="003B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higi@fashion.art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ghigi@fashion.art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f.baah@arts.ac.uk" TargetMode="External"/><Relationship Id="rId5" Type="http://schemas.openxmlformats.org/officeDocument/2006/relationships/hyperlink" Target="mailto:c.ghigi@fashion.arts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Ghigi</dc:creator>
  <cp:keywords/>
  <dc:description/>
  <cp:lastModifiedBy>Carlotta Ghigi</cp:lastModifiedBy>
  <cp:revision>67</cp:revision>
  <dcterms:created xsi:type="dcterms:W3CDTF">2025-12-10T11:52:00Z</dcterms:created>
  <dcterms:modified xsi:type="dcterms:W3CDTF">2025-12-11T17:58:00Z</dcterms:modified>
</cp:coreProperties>
</file>